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  完整的样品分析过程包括样品采集、样品前处理、分析测定、数据处理以及报告结果，而样品前处理可以说是其中最重要的环节。不仅是因为样品前处理占去了整个样品分析过程60%以上的时间，还因为这个环节最容易产生分析误差。下面我们就展开对于样品前处理的详细叙述。</w:t>
      </w:r>
    </w:p>
    <w:p>
      <w:pPr>
        <w:keepNext w:val="0"/>
        <w:keepLines w:val="0"/>
        <w:widowControl/>
        <w:suppressLineNumbers w:val="0"/>
        <w:jc w:val="cente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drawing>
          <wp:inline distT="0" distB="0" distL="114300" distR="114300">
            <wp:extent cx="3819525" cy="2552700"/>
            <wp:effectExtent l="0" t="0" r="9525" b="0"/>
            <wp:docPr id="1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IMG_256"/>
                    <pic:cNvPicPr>
                      <a:picLocks noChangeAspect="1"/>
                    </pic:cNvPicPr>
                  </pic:nvPicPr>
                  <pic:blipFill>
                    <a:blip r:embed="rId4"/>
                    <a:stretch>
                      <a:fillRect/>
                    </a:stretch>
                  </pic:blipFill>
                  <pic:spPr>
                    <a:xfrm>
                      <a:off x="0" y="0"/>
                      <a:ext cx="3819525" cy="2552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begin"/>
      </w:r>
      <w:r>
        <w:rPr>
          <w:rFonts w:hint="default" w:ascii="Helvetica" w:hAnsi="Helvetica" w:eastAsia="Helvetica" w:cs="Helvetica"/>
          <w:i w:val="0"/>
          <w:iCs w:val="0"/>
          <w:caps w:val="0"/>
          <w:color w:val="3560A0"/>
          <w:spacing w:val="0"/>
          <w:sz w:val="24"/>
          <w:szCs w:val="24"/>
          <w:u w:val="none"/>
          <w:bdr w:val="none" w:color="auto" w:sz="0" w:space="0"/>
          <w:shd w:val="clear" w:fill="FFFFFF"/>
        </w:rPr>
        <w:instrText xml:space="preserve"> HYPERLINK "http://www.convinced-test.com/support/sample-handling-preservation.html" </w:instrText>
      </w: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separate"/>
      </w:r>
      <w:r>
        <w:rPr>
          <w:rStyle w:val="9"/>
          <w:rFonts w:hint="default" w:ascii="Helvetica" w:hAnsi="Helvetica" w:eastAsia="Helvetica" w:cs="Helvetica"/>
          <w:i w:val="0"/>
          <w:iCs w:val="0"/>
          <w:caps w:val="0"/>
          <w:color w:val="3560A0"/>
          <w:spacing w:val="0"/>
          <w:sz w:val="24"/>
          <w:szCs w:val="24"/>
          <w:u w:val="none"/>
          <w:bdr w:val="none" w:color="auto" w:sz="0" w:space="0"/>
          <w:shd w:val="clear" w:fill="FFFFFF"/>
        </w:rPr>
        <w:t>① 种子、茎叶的前处理和保存</w:t>
      </w: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end"/>
      </w:r>
      <w:r>
        <w:rPr>
          <w:rFonts w:hint="default" w:ascii="Helvetica" w:hAnsi="Helvetica" w:eastAsia="Helvetica" w:cs="Helvetica"/>
          <w:i w:val="0"/>
          <w:iCs w:val="0"/>
          <w:caps w:val="0"/>
          <w:color w:val="333333"/>
          <w:spacing w:val="0"/>
          <w:sz w:val="24"/>
          <w:szCs w:val="24"/>
          <w:bdr w:val="none" w:color="auto" w:sz="0" w:space="0"/>
          <w:shd w:val="clear" w:fill="FFFFFF"/>
        </w:rPr>
        <w:t>        </w:t>
      </w: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begin"/>
      </w:r>
      <w:r>
        <w:rPr>
          <w:rFonts w:hint="default" w:ascii="Helvetica" w:hAnsi="Helvetica" w:eastAsia="Helvetica" w:cs="Helvetica"/>
          <w:i w:val="0"/>
          <w:iCs w:val="0"/>
          <w:caps w:val="0"/>
          <w:color w:val="3560A0"/>
          <w:spacing w:val="0"/>
          <w:sz w:val="24"/>
          <w:szCs w:val="24"/>
          <w:u w:val="none"/>
          <w:bdr w:val="none" w:color="auto" w:sz="0" w:space="0"/>
          <w:shd w:val="clear" w:fill="FFFFFF"/>
        </w:rPr>
        <w:instrText xml:space="preserve"> HYPERLINK "http://www.convinced-test.com/support/soil-sampling.html" </w:instrText>
      </w: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separate"/>
      </w:r>
      <w:r>
        <w:rPr>
          <w:rStyle w:val="9"/>
          <w:rFonts w:hint="default" w:ascii="Helvetica" w:hAnsi="Helvetica" w:eastAsia="Helvetica" w:cs="Helvetica"/>
          <w:i w:val="0"/>
          <w:iCs w:val="0"/>
          <w:caps w:val="0"/>
          <w:color w:val="3560A0"/>
          <w:spacing w:val="0"/>
          <w:sz w:val="24"/>
          <w:szCs w:val="24"/>
          <w:u w:val="none"/>
          <w:bdr w:val="none" w:color="auto" w:sz="0" w:space="0"/>
          <w:shd w:val="clear" w:fill="FFFFFF"/>
        </w:rPr>
        <w:t>② 土壤前处理</w:t>
      </w:r>
      <w:r>
        <w:rPr>
          <w:rFonts w:hint="default" w:ascii="Helvetica" w:hAnsi="Helvetica" w:eastAsia="Helvetica" w:cs="Helvetica"/>
          <w:i w:val="0"/>
          <w:iCs w:val="0"/>
          <w:caps w:val="0"/>
          <w:color w:val="3560A0"/>
          <w:spacing w:val="0"/>
          <w:sz w:val="24"/>
          <w:szCs w:val="24"/>
          <w:u w:val="none"/>
          <w:bdr w:val="none" w:color="auto" w:sz="0" w:space="0"/>
          <w:shd w:val="clear" w:fill="FFFFFF"/>
        </w:rPr>
        <w:fldChar w:fldCharType="end"/>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为什么要进行样品前处理？：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1.复杂体系中将待测组分与基体进行分离，并通过纯化和富集以提高浓度，制成便于测定的溶液形式</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2.除去对分析测定有干扰的杂质；</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3.通过样品衍生技术处理样品使原本对检测器响应弱或无响应的样品定量地转化成一种易于检测的化合物。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样品前处理的一般原则：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1.深入了解样品的性状、检测的方法以及所用分析仪器的性能。</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2.前处理方法应该尽可能简单快速，尽量减少对于环境的污染。</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3.样品的粘度不宜太大，防止堵塞柱子、喷口及毛细管入口</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4.样品不能被污染，不能引入待测组分和干扰测定的物质。</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5.尽可能减少带测组分发生化学变化，抑制带测组分的损失。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样品前处理的常用方法：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传统的样品前处理方法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1.沉淀法：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    根据溶度积原理，利用某种沉淀剂有选择地沉淀一些离子，</w:t>
      </w:r>
    </w:p>
    <w:tbl>
      <w:tblPr>
        <w:tblW w:w="12713" w:type="dxa"/>
        <w:tblInd w:w="0" w:type="dxa"/>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Layout w:type="autofit"/>
        <w:tblCellMar>
          <w:top w:w="0" w:type="dxa"/>
          <w:left w:w="0" w:type="dxa"/>
          <w:bottom w:w="0" w:type="dxa"/>
          <w:right w:w="0" w:type="dxa"/>
        </w:tblCellMar>
      </w:tblPr>
      <w:tblGrid>
        <w:gridCol w:w="2702"/>
        <w:gridCol w:w="5854"/>
        <w:gridCol w:w="4157"/>
      </w:tblGrid>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rPr>
          <w:tblHeader/>
        </w:trPr>
        <w:tc>
          <w:tcPr>
            <w:tcW w:w="0" w:type="auto"/>
            <w:gridSpan w:val="3"/>
            <w:tcBorders>
              <w:top w:val="nil"/>
              <w:left w:val="outset" w:color="D0D0D0" w:sz="6" w:space="0"/>
              <w:bottom w:val="single" w:color="DDDDDD" w:sz="12" w:space="0"/>
              <w:right w:val="outset" w:color="D0D0D0" w:sz="6" w:space="0"/>
            </w:tcBorders>
            <w:shd w:val="clear" w:color="auto" w:fill="35B18F"/>
            <w:tcMar>
              <w:top w:w="120" w:type="dxa"/>
              <w:left w:w="120" w:type="dxa"/>
              <w:bottom w:w="120" w:type="dxa"/>
              <w:right w:w="120" w:type="dxa"/>
            </w:tcMar>
            <w:vAlign w:val="bottom"/>
          </w:tcPr>
          <w:p>
            <w:pPr>
              <w:keepNext w:val="0"/>
              <w:keepLines w:val="0"/>
              <w:widowControl/>
              <w:suppressLineNumbers w:val="0"/>
              <w:spacing w:before="0" w:beforeAutospacing="0" w:after="0" w:afterAutospacing="0" w:line="21" w:lineRule="atLeast"/>
              <w:ind w:left="0" w:right="0"/>
              <w:jc w:val="center"/>
              <w:textAlignment w:val="bottom"/>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444E67"/>
                <w:spacing w:val="0"/>
                <w:kern w:val="0"/>
                <w:sz w:val="27"/>
                <w:szCs w:val="27"/>
                <w:bdr w:val="none" w:color="auto" w:sz="0" w:space="0"/>
                <w:lang w:val="en-US" w:eastAsia="zh-CN" w:bidi="ar"/>
              </w:rPr>
              <w:t>沉淀法分类</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rPr>
          <w:tblHeader/>
        </w:trPr>
        <w:tc>
          <w:tcPr>
            <w:tcW w:w="1050" w:type="dxa"/>
            <w:tcBorders>
              <w:top w:val="single" w:color="DDDDDD" w:sz="6" w:space="0"/>
              <w:left w:val="outset" w:color="D0D0D0" w:sz="6" w:space="0"/>
              <w:bottom w:val="single" w:color="DDDDDD" w:sz="12" w:space="0"/>
              <w:right w:val="outset" w:color="D0D0D0" w:sz="6" w:space="0"/>
            </w:tcBorders>
            <w:shd w:val="clear" w:color="auto" w:fill="35B18F"/>
            <w:tcMar>
              <w:top w:w="120" w:type="dxa"/>
              <w:left w:w="120" w:type="dxa"/>
              <w:bottom w:w="120" w:type="dxa"/>
              <w:right w:w="120" w:type="dxa"/>
            </w:tcMar>
            <w:vAlign w:val="bottom"/>
          </w:tcPr>
          <w:p>
            <w:pPr>
              <w:keepNext w:val="0"/>
              <w:keepLines w:val="0"/>
              <w:widowControl/>
              <w:suppressLineNumbers w:val="0"/>
              <w:spacing w:before="0" w:beforeAutospacing="0" w:after="0" w:afterAutospacing="0" w:line="21" w:lineRule="atLeast"/>
              <w:ind w:left="0" w:right="0"/>
              <w:jc w:val="center"/>
              <w:textAlignment w:val="bottom"/>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方法</w:t>
            </w:r>
          </w:p>
        </w:tc>
        <w:tc>
          <w:tcPr>
            <w:tcW w:w="1050" w:type="dxa"/>
            <w:tcBorders>
              <w:top w:val="single" w:color="DDDDDD" w:sz="6" w:space="0"/>
              <w:left w:val="outset" w:color="D0D0D0" w:sz="6" w:space="0"/>
              <w:bottom w:val="single" w:color="DDDDDD" w:sz="12" w:space="0"/>
              <w:right w:val="outset" w:color="D0D0D0" w:sz="6" w:space="0"/>
            </w:tcBorders>
            <w:shd w:val="clear" w:color="auto" w:fill="35B18F"/>
            <w:tcMar>
              <w:top w:w="120" w:type="dxa"/>
              <w:left w:w="120" w:type="dxa"/>
              <w:bottom w:w="120" w:type="dxa"/>
              <w:right w:w="120" w:type="dxa"/>
            </w:tcMar>
            <w:vAlign w:val="bottom"/>
          </w:tcPr>
          <w:p>
            <w:pPr>
              <w:keepNext w:val="0"/>
              <w:keepLines w:val="0"/>
              <w:widowControl/>
              <w:suppressLineNumbers w:val="0"/>
              <w:spacing w:before="0" w:beforeAutospacing="0" w:after="0" w:afterAutospacing="0" w:line="21" w:lineRule="atLeast"/>
              <w:ind w:left="0" w:right="0"/>
              <w:jc w:val="center"/>
              <w:textAlignment w:val="bottom"/>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原理</w:t>
            </w:r>
          </w:p>
        </w:tc>
        <w:tc>
          <w:tcPr>
            <w:tcW w:w="1050" w:type="dxa"/>
            <w:tcBorders>
              <w:top w:val="single" w:color="DDDDDD" w:sz="6" w:space="0"/>
              <w:left w:val="outset" w:color="D0D0D0" w:sz="6" w:space="0"/>
              <w:bottom w:val="single" w:color="DDDDDD" w:sz="12" w:space="0"/>
              <w:right w:val="outset" w:color="D0D0D0" w:sz="6" w:space="0"/>
            </w:tcBorders>
            <w:shd w:val="clear" w:color="auto" w:fill="35B18F"/>
            <w:tcMar>
              <w:top w:w="120" w:type="dxa"/>
              <w:left w:w="120" w:type="dxa"/>
              <w:bottom w:w="120" w:type="dxa"/>
              <w:right w:w="120" w:type="dxa"/>
            </w:tcMar>
            <w:vAlign w:val="bottom"/>
          </w:tcPr>
          <w:p>
            <w:pPr>
              <w:keepNext w:val="0"/>
              <w:keepLines w:val="0"/>
              <w:widowControl/>
              <w:suppressLineNumbers w:val="0"/>
              <w:spacing w:before="0" w:beforeAutospacing="0" w:after="0" w:afterAutospacing="0" w:line="21" w:lineRule="atLeast"/>
              <w:ind w:left="0" w:right="0"/>
              <w:jc w:val="center"/>
              <w:textAlignment w:val="bottom"/>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用途</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NaOH沉淀法</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两性氢氧化物溶解而于其他氢氧化物沉淀分离</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沉淀金属离子</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硫化物沉淀法</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利用生成硫化物进行沉淀分离的方法</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碱金属和碱土金属与重金属离子分离</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有机沉淀剂沉淀分离法</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有机沉淀剂</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常量组分分离</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共沉淀法分离</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加入某种离子与沉淀剂生成沉淀作为载体（沉淀剂）</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痕量组分的分离与富集</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2.液相萃取法：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利用了相似相容的原理，在液体混合物中加入与其不相混溶的溶剂，根据组分在溶剂中的不同溶解度而达到分离或提取目的传统样品前处理方法里常用的有液液萃取法和索氏提取法</w:t>
      </w:r>
    </w:p>
    <w:p>
      <w:pPr>
        <w:keepNext w:val="0"/>
        <w:keepLines w:val="0"/>
        <w:widowControl/>
        <w:suppressLineNumbers w:val="0"/>
        <w:jc w:val="center"/>
      </w:pPr>
      <w:r>
        <w:rPr>
          <w:rFonts w:hint="default" w:ascii="Helvetica" w:hAnsi="Helvetica" w:eastAsia="Helvetica" w:cs="Helvetica"/>
          <w:i w:val="0"/>
          <w:iCs w:val="0"/>
          <w:caps w:val="0"/>
          <w:color w:val="333333"/>
          <w:spacing w:val="0"/>
          <w:kern w:val="0"/>
          <w:sz w:val="21"/>
          <w:szCs w:val="21"/>
          <w:shd w:val="clear" w:fill="FFFFFF"/>
          <w:lang w:val="en-US" w:eastAsia="zh-CN" w:bidi="ar"/>
        </w:rPr>
        <w:drawing>
          <wp:inline distT="0" distB="0" distL="114300" distR="114300">
            <wp:extent cx="1028700" cy="2238375"/>
            <wp:effectExtent l="0" t="0" r="0" b="9525"/>
            <wp:docPr id="15"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descr="IMG_257"/>
                    <pic:cNvPicPr>
                      <a:picLocks noChangeAspect="1"/>
                    </pic:cNvPicPr>
                  </pic:nvPicPr>
                  <pic:blipFill>
                    <a:blip r:embed="rId5"/>
                    <a:stretch>
                      <a:fillRect/>
                    </a:stretch>
                  </pic:blipFill>
                  <pic:spPr>
                    <a:xfrm>
                      <a:off x="0" y="0"/>
                      <a:ext cx="1028700" cy="2238375"/>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3.离子交换萃取法：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    所谓离子交换就是离子交换剂中的可被交换离子与试液中带相同电荷的离子间的交换作用。一般分为选择树脂、装柱、交换、洗脱这四个步骤。这种方法在痕量分析中有两种应用，一种是用去出去干扰组分，将其与待测痕量组分分离，一种是富集痕量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    离子交换法有着众多优点，比如分离效果好，设备简单，操作简便，适用于实验室和工业规模的分离，但其也有很多缺陷，如分离时间长、消耗洗脱液较多等。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样品前处理方法的发展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1.减少甚至不用有毒有机溶剂</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2.能适应处理复杂介质、痕量成分、特殊性质成分分析的要求</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3.减少操作步骤</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4.尽量集采样、萃取、净化、浓缩、预分离、进样于一身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现代样品前处理方法：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1.静态顶空萃取：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原理:</w:t>
      </w:r>
      <w:r>
        <w:rPr>
          <w:rFonts w:hint="default" w:ascii="Helvetica" w:hAnsi="Helvetica" w:eastAsia="Helvetica" w:cs="Helvetica"/>
          <w:i w:val="0"/>
          <w:iCs w:val="0"/>
          <w:caps w:val="0"/>
          <w:color w:val="333333"/>
          <w:spacing w:val="0"/>
          <w:sz w:val="24"/>
          <w:szCs w:val="24"/>
          <w:bdr w:val="none" w:color="auto" w:sz="0" w:space="0"/>
          <w:shd w:val="clear" w:fill="FFFFFF"/>
        </w:rPr>
        <w:t>固定相是吸附剂，流动相是萃取过程中的水样。当固定相与流动相接触时，其中的某些痕量物质就保留在固定相中。这时用少量的选择性溶剂洗脱，即可达到富集和纯化目标物的目的。</w:t>
      </w:r>
    </w:p>
    <w:p>
      <w:pPr>
        <w:keepNext w:val="0"/>
        <w:keepLines w:val="0"/>
        <w:widowControl/>
        <w:suppressLineNumbers w:val="0"/>
        <w:jc w:val="left"/>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drawing>
          <wp:inline distT="0" distB="0" distL="114300" distR="114300">
            <wp:extent cx="3133725" cy="1962150"/>
            <wp:effectExtent l="0" t="0" r="9525" b="0"/>
            <wp:docPr id="13" name="图片 2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descr="IMG_258"/>
                    <pic:cNvPicPr>
                      <a:picLocks noChangeAspect="1"/>
                    </pic:cNvPicPr>
                  </pic:nvPicPr>
                  <pic:blipFill>
                    <a:blip r:embed="rId6"/>
                    <a:stretch>
                      <a:fillRect/>
                    </a:stretch>
                  </pic:blipFill>
                  <pic:spPr>
                    <a:xfrm>
                      <a:off x="0" y="0"/>
                      <a:ext cx="3133725" cy="19621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应用:</w:t>
      </w:r>
      <w:r>
        <w:rPr>
          <w:rFonts w:hint="default" w:ascii="Helvetica" w:hAnsi="Helvetica" w:eastAsia="Helvetica" w:cs="Helvetica"/>
          <w:i w:val="0"/>
          <w:iCs w:val="0"/>
          <w:caps w:val="0"/>
          <w:color w:val="333333"/>
          <w:spacing w:val="0"/>
          <w:sz w:val="24"/>
          <w:szCs w:val="24"/>
          <w:bdr w:val="none" w:color="auto" w:sz="0" w:space="0"/>
          <w:shd w:val="clear" w:fill="FFFFFF"/>
        </w:rPr>
        <w:t>①在职业病和法庭分析中，测定体液等中的苯、甲苯、二甲苯等有毒成分</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②检查汽车司机是否酒后驾车，分析血样中的酒精</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③塑料食品包装袋中的甲苯残留量的测定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优点:</w:t>
      </w:r>
      <w:r>
        <w:rPr>
          <w:rFonts w:hint="default" w:ascii="Helvetica" w:hAnsi="Helvetica" w:eastAsia="Helvetica" w:cs="Helvetica"/>
          <w:i w:val="0"/>
          <w:iCs w:val="0"/>
          <w:caps w:val="0"/>
          <w:color w:val="333333"/>
          <w:spacing w:val="0"/>
          <w:sz w:val="24"/>
          <w:szCs w:val="24"/>
          <w:bdr w:val="none" w:color="auto" w:sz="0" w:space="0"/>
          <w:shd w:val="clear" w:fill="FFFFFF"/>
        </w:rPr>
        <w:t>①操作简单、快速、省钱</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②进样中溶剂含量少，减少干扰</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③避免水份、高沸点物或非挥发性物质对分析柱造成超载和污染问题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缺点:</w:t>
      </w:r>
      <w:r>
        <w:rPr>
          <w:rFonts w:hint="default" w:ascii="Helvetica" w:hAnsi="Helvetica" w:eastAsia="Helvetica" w:cs="Helvetica"/>
          <w:i w:val="0"/>
          <w:iCs w:val="0"/>
          <w:caps w:val="0"/>
          <w:color w:val="333333"/>
          <w:spacing w:val="0"/>
          <w:sz w:val="24"/>
          <w:szCs w:val="24"/>
          <w:bdr w:val="none" w:color="auto" w:sz="0" w:space="0"/>
          <w:shd w:val="clear" w:fill="FFFFFF"/>
        </w:rPr>
        <w:t>样品中一些低沸点有机酸会产生干扰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2.固相萃取：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原理:</w:t>
      </w:r>
      <w:r>
        <w:rPr>
          <w:rFonts w:hint="default" w:ascii="Helvetica" w:hAnsi="Helvetica" w:eastAsia="Helvetica" w:cs="Helvetica"/>
          <w:i w:val="0"/>
          <w:iCs w:val="0"/>
          <w:caps w:val="0"/>
          <w:color w:val="333333"/>
          <w:spacing w:val="0"/>
          <w:sz w:val="24"/>
          <w:szCs w:val="24"/>
          <w:bdr w:val="none" w:color="auto" w:sz="0" w:space="0"/>
          <w:shd w:val="clear" w:fill="FFFFFF"/>
        </w:rPr>
        <w:t>利用被测样品（气-液和气-固）加热平衡后，取其挥发气体部分进入气相色谱仪分析。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应用:</w:t>
      </w:r>
      <w:r>
        <w:rPr>
          <w:rFonts w:hint="default" w:ascii="Helvetica" w:hAnsi="Helvetica" w:eastAsia="Helvetica" w:cs="Helvetica"/>
          <w:i w:val="0"/>
          <w:iCs w:val="0"/>
          <w:caps w:val="0"/>
          <w:color w:val="333333"/>
          <w:spacing w:val="0"/>
          <w:sz w:val="24"/>
          <w:szCs w:val="24"/>
          <w:bdr w:val="none" w:color="auto" w:sz="0" w:space="0"/>
          <w:shd w:val="clear" w:fill="FFFFFF"/>
        </w:rPr>
        <w:t>①环境污染分析</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②食品安全分析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优点:</w:t>
      </w:r>
      <w:r>
        <w:rPr>
          <w:rFonts w:hint="default" w:ascii="Helvetica" w:hAnsi="Helvetica" w:eastAsia="Helvetica" w:cs="Helvetica"/>
          <w:i w:val="0"/>
          <w:iCs w:val="0"/>
          <w:caps w:val="0"/>
          <w:color w:val="333333"/>
          <w:spacing w:val="0"/>
          <w:sz w:val="24"/>
          <w:szCs w:val="24"/>
          <w:bdr w:val="none" w:color="auto" w:sz="0" w:space="0"/>
          <w:shd w:val="clear" w:fill="FFFFFF"/>
        </w:rPr>
        <w:t>回收率高、重现性好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缺点:</w:t>
      </w:r>
      <w:r>
        <w:rPr>
          <w:rFonts w:hint="default" w:ascii="Helvetica" w:hAnsi="Helvetica" w:eastAsia="Helvetica" w:cs="Helvetica"/>
          <w:i w:val="0"/>
          <w:iCs w:val="0"/>
          <w:caps w:val="0"/>
          <w:color w:val="333333"/>
          <w:spacing w:val="0"/>
          <w:sz w:val="24"/>
          <w:szCs w:val="24"/>
          <w:bdr w:val="none" w:color="auto" w:sz="0" w:space="0"/>
          <w:shd w:val="clear" w:fill="FFFFFF"/>
        </w:rPr>
        <w:t>需要建立方法，成本较高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444E67"/>
          <w:spacing w:val="0"/>
          <w:sz w:val="24"/>
          <w:szCs w:val="24"/>
          <w:bdr w:val="none" w:color="auto" w:sz="0" w:space="0"/>
          <w:shd w:val="clear" w:fill="FFFFFF"/>
        </w:rPr>
        <w:t>3.固相微萃取：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原理:</w:t>
      </w:r>
      <w:r>
        <w:rPr>
          <w:rFonts w:hint="default" w:ascii="Helvetica" w:hAnsi="Helvetica" w:eastAsia="Helvetica" w:cs="Helvetica"/>
          <w:i w:val="0"/>
          <w:iCs w:val="0"/>
          <w:caps w:val="0"/>
          <w:color w:val="333333"/>
          <w:spacing w:val="0"/>
          <w:sz w:val="24"/>
          <w:szCs w:val="24"/>
          <w:bdr w:val="none" w:color="auto" w:sz="0" w:space="0"/>
          <w:shd w:val="clear" w:fill="FFFFFF"/>
        </w:rPr>
        <w:t>蛇信原理，通过直接或顶空方式，对待测物进行提取、富集、进样和解析。然后将富集了待测物的纤维直接转移到仪器(GC或HPLC)中，通过一定的方式解吸附(一般是热解吸，或溶剂解吸)，然后进行分离分析。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应用:</w:t>
      </w:r>
      <w:r>
        <w:rPr>
          <w:rFonts w:hint="default" w:ascii="Helvetica" w:hAnsi="Helvetica" w:eastAsia="Helvetica" w:cs="Helvetica"/>
          <w:i w:val="0"/>
          <w:iCs w:val="0"/>
          <w:caps w:val="0"/>
          <w:color w:val="000000" w:themeColor="text1"/>
          <w:spacing w:val="0"/>
          <w:sz w:val="24"/>
          <w:szCs w:val="24"/>
          <w:u w:val="none"/>
          <w:bdr w:val="none" w:color="auto" w:sz="0" w:space="0"/>
          <w:shd w:val="clear" w:fill="FFFFFF"/>
          <w14:textFill>
            <w14:solidFill>
              <w14:schemeClr w14:val="tx1"/>
            </w14:solidFill>
          </w14:textFill>
        </w:rPr>
        <w:t>植物激素检测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left"/>
        <w:rPr>
          <w:rFonts w:hint="default" w:ascii="Helvetica" w:hAnsi="Helvetica" w:eastAsia="Helvetica" w:cs="Helvetica"/>
          <w:i w:val="0"/>
          <w:iCs w:val="0"/>
          <w:caps w:val="0"/>
          <w:color w:val="333333"/>
          <w:spacing w:val="0"/>
          <w:sz w:val="24"/>
          <w:szCs w:val="24"/>
        </w:rPr>
      </w:pPr>
      <w:r>
        <w:rPr>
          <w:rStyle w:val="8"/>
          <w:rFonts w:hint="default" w:ascii="Helvetica" w:hAnsi="Helvetica" w:eastAsia="Helvetica" w:cs="Helvetica"/>
          <w:b/>
          <w:bCs/>
          <w:i w:val="0"/>
          <w:iCs w:val="0"/>
          <w:caps w:val="0"/>
          <w:color w:val="333333"/>
          <w:spacing w:val="0"/>
          <w:sz w:val="24"/>
          <w:szCs w:val="24"/>
          <w:bdr w:val="none" w:color="auto" w:sz="0" w:space="0"/>
          <w:shd w:val="clear" w:fill="FFFFFF"/>
        </w:rPr>
        <w:t>优点:</w:t>
      </w:r>
      <w:r>
        <w:rPr>
          <w:rFonts w:hint="default" w:ascii="Helvetica" w:hAnsi="Helvetica" w:eastAsia="Helvetica" w:cs="Helvetica"/>
          <w:i w:val="0"/>
          <w:iCs w:val="0"/>
          <w:caps w:val="0"/>
          <w:color w:val="333333"/>
          <w:spacing w:val="0"/>
          <w:sz w:val="24"/>
          <w:szCs w:val="24"/>
          <w:bdr w:val="none" w:color="auto" w:sz="0" w:space="0"/>
          <w:shd w:val="clear" w:fill="FFFFFF"/>
        </w:rPr>
        <w:t>①不需有毒有机溶剂</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②操作简单</w:t>
      </w:r>
      <w:r>
        <w:rPr>
          <w:rFonts w:hint="default" w:ascii="Helvetica" w:hAnsi="Helvetica" w:eastAsia="Helvetica" w:cs="Helvetica"/>
          <w:i w:val="0"/>
          <w:iCs w:val="0"/>
          <w:caps w:val="0"/>
          <w:color w:val="333333"/>
          <w:spacing w:val="0"/>
          <w:sz w:val="24"/>
          <w:szCs w:val="24"/>
          <w:bdr w:val="none" w:color="auto" w:sz="0" w:space="0"/>
          <w:shd w:val="clear" w:fill="FFFFFF"/>
        </w:rPr>
        <w:br w:type="textWrapping"/>
      </w:r>
      <w:r>
        <w:rPr>
          <w:rFonts w:hint="default" w:ascii="Helvetica" w:hAnsi="Helvetica" w:eastAsia="Helvetica" w:cs="Helvetica"/>
          <w:i w:val="0"/>
          <w:iCs w:val="0"/>
          <w:caps w:val="0"/>
          <w:color w:val="333333"/>
          <w:spacing w:val="0"/>
          <w:sz w:val="24"/>
          <w:szCs w:val="24"/>
          <w:bdr w:val="none" w:color="auto" w:sz="0" w:space="0"/>
          <w:shd w:val="clear" w:fill="FFFFFF"/>
        </w:rPr>
        <w:t>③其富集效果是直接顶空进样的10-100倍</w:t>
      </w:r>
    </w:p>
    <w:tbl>
      <w:tblPr>
        <w:tblW w:w="12713" w:type="dxa"/>
        <w:tblInd w:w="0" w:type="dxa"/>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Layout w:type="autofit"/>
        <w:tblCellMar>
          <w:top w:w="0" w:type="dxa"/>
          <w:left w:w="0" w:type="dxa"/>
          <w:bottom w:w="0" w:type="dxa"/>
          <w:right w:w="0" w:type="dxa"/>
        </w:tblCellMar>
      </w:tblPr>
      <w:tblGrid>
        <w:gridCol w:w="2184"/>
        <w:gridCol w:w="3713"/>
        <w:gridCol w:w="2184"/>
        <w:gridCol w:w="4632"/>
      </w:tblGrid>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tblCellMar>
            <w:top w:w="0" w:type="dxa"/>
            <w:left w:w="0" w:type="dxa"/>
            <w:bottom w:w="0" w:type="dxa"/>
            <w:right w:w="0" w:type="dxa"/>
          </w:tblCellMar>
        </w:tblPrEx>
        <w:trPr>
          <w:tblHeader/>
        </w:trPr>
        <w:tc>
          <w:tcPr>
            <w:tcW w:w="0" w:type="auto"/>
            <w:gridSpan w:val="4"/>
            <w:tcBorders>
              <w:top w:val="nil"/>
              <w:left w:val="outset" w:color="D0D0D0" w:sz="6" w:space="0"/>
              <w:bottom w:val="single" w:color="DDDDDD" w:sz="12" w:space="0"/>
              <w:right w:val="outset" w:color="D0D0D0" w:sz="6" w:space="0"/>
            </w:tcBorders>
            <w:shd w:val="clear" w:color="auto" w:fill="35B18F"/>
            <w:tcMar>
              <w:top w:w="120" w:type="dxa"/>
              <w:left w:w="120" w:type="dxa"/>
              <w:bottom w:w="120" w:type="dxa"/>
              <w:right w:w="120" w:type="dxa"/>
            </w:tcMar>
            <w:vAlign w:val="bottom"/>
          </w:tcPr>
          <w:p>
            <w:pPr>
              <w:keepNext w:val="0"/>
              <w:keepLines w:val="0"/>
              <w:widowControl/>
              <w:suppressLineNumbers w:val="0"/>
              <w:spacing w:before="0" w:beforeAutospacing="0" w:after="0" w:afterAutospacing="0" w:line="21" w:lineRule="atLeast"/>
              <w:ind w:left="0" w:right="0"/>
              <w:jc w:val="center"/>
              <w:textAlignment w:val="bottom"/>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7"/>
                <w:szCs w:val="27"/>
                <w:bdr w:val="none" w:color="auto" w:sz="0" w:space="0"/>
                <w:lang w:val="en-US" w:eastAsia="zh-CN" w:bidi="ar"/>
              </w:rPr>
              <w:t>样品前处理方法的比较</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1050" w:type="dxa"/>
            <w:tcBorders>
              <w:top w:val="single" w:color="DDDDDD" w:sz="6" w:space="0"/>
              <w:left w:val="outset" w:color="D0D0D0" w:sz="6" w:space="0"/>
              <w:bottom w:val="outset" w:color="D0D0D0" w:sz="6" w:space="0"/>
              <w:right w:val="outset" w:color="D0D0D0" w:sz="6" w:space="0"/>
            </w:tcBorders>
            <w:shd w:val="clear" w:color="auto" w:fill="35B18F"/>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前处理方法</w:t>
            </w:r>
          </w:p>
        </w:tc>
        <w:tc>
          <w:tcPr>
            <w:tcW w:w="1050" w:type="dxa"/>
            <w:tcBorders>
              <w:top w:val="single" w:color="DDDDDD" w:sz="6" w:space="0"/>
              <w:left w:val="outset" w:color="D0D0D0" w:sz="6" w:space="0"/>
              <w:bottom w:val="outset" w:color="D0D0D0" w:sz="6" w:space="0"/>
              <w:right w:val="outset" w:color="D0D0D0" w:sz="6" w:space="0"/>
            </w:tcBorders>
            <w:shd w:val="clear" w:color="auto" w:fill="35B18F"/>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分析对象</w:t>
            </w:r>
          </w:p>
        </w:tc>
        <w:tc>
          <w:tcPr>
            <w:tcW w:w="1050" w:type="dxa"/>
            <w:tcBorders>
              <w:top w:val="single" w:color="DDDDDD" w:sz="6" w:space="0"/>
              <w:left w:val="outset" w:color="D0D0D0" w:sz="6" w:space="0"/>
              <w:bottom w:val="outset" w:color="D0D0D0" w:sz="6" w:space="0"/>
              <w:right w:val="outset" w:color="D0D0D0" w:sz="6" w:space="0"/>
            </w:tcBorders>
            <w:shd w:val="clear" w:color="auto" w:fill="35B18F"/>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萃取相</w:t>
            </w:r>
          </w:p>
        </w:tc>
        <w:tc>
          <w:tcPr>
            <w:tcW w:w="2490" w:type="dxa"/>
            <w:tcBorders>
              <w:top w:val="single" w:color="DDDDDD" w:sz="6" w:space="0"/>
              <w:left w:val="outset" w:color="D0D0D0" w:sz="6" w:space="0"/>
              <w:bottom w:val="outset" w:color="D0D0D0" w:sz="6" w:space="0"/>
              <w:right w:val="outset" w:color="D0D0D0" w:sz="6" w:space="0"/>
            </w:tcBorders>
            <w:shd w:val="clear" w:color="auto" w:fill="35B18F"/>
            <w:tcMar>
              <w:top w:w="120" w:type="dxa"/>
              <w:left w:w="120" w:type="dxa"/>
              <w:bottom w:w="120" w:type="dxa"/>
              <w:right w:w="120" w:type="dxa"/>
            </w:tcMar>
            <w:vAlign w:val="top"/>
          </w:tcPr>
          <w:p>
            <w:pPr>
              <w:keepNext w:val="0"/>
              <w:keepLines w:val="0"/>
              <w:widowControl/>
              <w:suppressLineNumbers w:val="0"/>
              <w:spacing w:before="0" w:beforeAutospacing="0" w:after="0" w:afterAutospacing="0" w:line="21" w:lineRule="atLeast"/>
              <w:ind w:left="0" w:right="0"/>
              <w:jc w:val="center"/>
              <w:textAlignment w:val="top"/>
              <w:rPr>
                <w:rFonts w:hint="default" w:ascii="Helvetica" w:hAnsi="Helvetica" w:eastAsia="Helvetica" w:cs="Helvetica"/>
                <w:b/>
                <w:bCs/>
                <w:i w:val="0"/>
                <w:iCs w:val="0"/>
                <w:caps w:val="0"/>
                <w:color w:val="FFFFFF"/>
                <w:spacing w:val="0"/>
                <w:sz w:val="21"/>
                <w:szCs w:val="21"/>
              </w:rPr>
            </w:pPr>
            <w:r>
              <w:rPr>
                <w:rFonts w:hint="default" w:ascii="Helvetica" w:hAnsi="Helvetica" w:eastAsia="Helvetica" w:cs="Helvetica"/>
                <w:b/>
                <w:bCs/>
                <w:i w:val="0"/>
                <w:iCs w:val="0"/>
                <w:caps w:val="0"/>
                <w:color w:val="FFFFFF"/>
                <w:spacing w:val="0"/>
                <w:kern w:val="0"/>
                <w:sz w:val="21"/>
                <w:szCs w:val="21"/>
                <w:bdr w:val="none" w:color="auto" w:sz="0" w:space="0"/>
                <w:lang w:val="en-US" w:eastAsia="zh-CN" w:bidi="ar"/>
              </w:rPr>
              <w:t>缺点</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沉淀分离法</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离子</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jc w:val="center"/>
              <w:rPr>
                <w:rFonts w:hint="default" w:ascii="Helvetica" w:hAnsi="Helvetica" w:eastAsia="Helvetica" w:cs="Helvetica"/>
                <w:i w:val="0"/>
                <w:iCs w:val="0"/>
                <w:caps w:val="0"/>
                <w:color w:val="333333"/>
                <w:spacing w:val="0"/>
                <w:sz w:val="21"/>
                <w:szCs w:val="21"/>
              </w:rPr>
            </w:pP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操作繁琐，选择性不高</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蛋白沉淀</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液相中有机物</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有毒有机溶剂</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费时费力</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离子交换萃取</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带电离子</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jc w:val="center"/>
              <w:rPr>
                <w:rFonts w:hint="default" w:ascii="Helvetica" w:hAnsi="Helvetica" w:eastAsia="Helvetica" w:cs="Helvetica"/>
                <w:i w:val="0"/>
                <w:iCs w:val="0"/>
                <w:caps w:val="0"/>
                <w:color w:val="333333"/>
                <w:spacing w:val="0"/>
                <w:sz w:val="21"/>
                <w:szCs w:val="21"/>
              </w:rPr>
            </w:pP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耗时，消耗溶剂多</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顶空气相萃取</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样品中的挥发性成分</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气相</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样品中的小分子量的有机酸干扰</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固相萃取</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极性、非极性、带有电荷</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固相</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吸附剂易被堵塞</w:t>
            </w:r>
          </w:p>
        </w:tc>
      </w:tr>
      <w:tr>
        <w:tblPrEx>
          <w:tblBorders>
            <w:top w:val="outset" w:color="D0D0D0" w:sz="6" w:space="0"/>
            <w:left w:val="outset" w:color="D0D0D0" w:sz="6" w:space="0"/>
            <w:bottom w:val="outset" w:color="D0D0D0" w:sz="6" w:space="0"/>
            <w:right w:val="outset" w:color="D0D0D0" w:sz="6" w:space="0"/>
            <w:insideH w:val="outset" w:color="D0D0D0" w:sz="6" w:space="0"/>
            <w:insideV w:val="outset" w:color="D0D0D0" w:sz="6" w:space="0"/>
          </w:tblBorders>
          <w:shd w:val="clear" w:color="auto" w:fill="FFFFFF"/>
          <w:tblCellMar>
            <w:top w:w="0" w:type="dxa"/>
            <w:left w:w="0" w:type="dxa"/>
            <w:bottom w:w="0" w:type="dxa"/>
            <w:right w:w="0" w:type="dxa"/>
          </w:tblCellMar>
        </w:tblPrEx>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固相微萃取</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有机物</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固相</w:t>
            </w:r>
          </w:p>
        </w:tc>
        <w:tc>
          <w:tcPr>
            <w:tcW w:w="0" w:type="auto"/>
            <w:tcBorders>
              <w:top w:val="single" w:color="DDDDDD" w:sz="6" w:space="0"/>
              <w:left w:val="outset" w:color="D0D0D0" w:sz="6" w:space="0"/>
              <w:bottom w:val="outset" w:color="D0D0D0" w:sz="6" w:space="0"/>
              <w:right w:val="outset" w:color="D0D0D0" w:sz="6" w:space="0"/>
            </w:tcBorders>
            <w:shd w:val="clear" w:color="auto" w:fill="FFFFFF"/>
            <w:tcMar>
              <w:top w:w="120" w:type="dxa"/>
              <w:left w:w="120" w:type="dxa"/>
              <w:bottom w:w="120" w:type="dxa"/>
              <w:right w:w="120" w:type="dxa"/>
            </w:tcMar>
            <w:vAlign w:val="top"/>
          </w:tcPr>
          <w:p>
            <w:pPr>
              <w:keepNext w:val="0"/>
              <w:keepLines w:val="0"/>
              <w:widowControl/>
              <w:suppressLineNumbers w:val="0"/>
              <w:shd w:val="clear" w:fill="FFFFFF"/>
              <w:spacing w:before="0" w:beforeAutospacing="0" w:after="0" w:afterAutospacing="0" w:line="21" w:lineRule="atLeast"/>
              <w:ind w:left="0" w:right="0"/>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萃取纤维易断，价格高</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0"/>
        <w:jc w:val="center"/>
        <w:rPr>
          <w:rFonts w:hint="default" w:ascii="Helvetica" w:hAnsi="Helvetica" w:eastAsia="Helvetica" w:cs="Helvetica"/>
          <w:i w:val="0"/>
          <w:iCs w:val="0"/>
          <w:caps w:val="0"/>
          <w:color w:val="333333"/>
          <w:spacing w:val="0"/>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NTFiOGY5N2RhZjFkOWNkYzJhN2M5NGUyZTYifQ=="/>
  </w:docVars>
  <w:rsids>
    <w:rsidRoot w:val="00000000"/>
    <w:rsid w:val="1E9A6CF6"/>
    <w:rsid w:val="5BE10974"/>
    <w:rsid w:val="5F64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Words>
  <Characters>149</Characters>
  <Lines>0</Lines>
  <Paragraphs>0</Paragraphs>
  <TotalTime>1</TotalTime>
  <ScaleCrop>false</ScaleCrop>
  <LinksUpToDate>false</LinksUpToDate>
  <CharactersWithSpaces>154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2022-07-26T05:14:45Z</dcterms:created>
  <dc:creator>Admin</dc:creator>
  <cp:lastModifiedBy>WPS_1658371605</cp:lastModifiedBy>
  <dcterms:modified xsi:type="dcterms:W3CDTF">2022-07-26T08:14:32Z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FCE3A6C8E0F84F3EA7A3B34B5C10B88F</vt:lpwstr>
  </property>
</Properties>
</file>